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87F3" w14:textId="2C93B4C5" w:rsidR="007F4D3D" w:rsidRPr="007F4D3D" w:rsidRDefault="007F4D3D" w:rsidP="007F4D3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color w:val="303C42"/>
          <w:sz w:val="24"/>
          <w:szCs w:val="24"/>
          <w:u w:val="single"/>
          <w:lang w:val="en-US"/>
        </w:rPr>
      </w:pPr>
      <w:bookmarkStart w:id="0" w:name="_GoBack"/>
      <w:bookmarkEnd w:id="0"/>
      <w:r w:rsidRPr="007F4D3D">
        <w:rPr>
          <w:rFonts w:ascii="Arial" w:eastAsia="Times New Roman" w:hAnsi="Arial" w:cs="Arial"/>
          <w:b/>
          <w:bCs/>
          <w:color w:val="303C42"/>
          <w:sz w:val="24"/>
          <w:szCs w:val="24"/>
          <w:u w:val="single"/>
          <w:lang w:val="en-US"/>
        </w:rPr>
        <w:t>FMG (Malta) Ltd – Website Disclosures</w:t>
      </w:r>
    </w:p>
    <w:p w14:paraId="63FAEE45" w14:textId="77777777" w:rsidR="007F4D3D" w:rsidRDefault="007F4D3D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</w:pPr>
    </w:p>
    <w:p w14:paraId="63392221" w14:textId="6CEA15A7" w:rsidR="0072712F" w:rsidRPr="009405A6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</w:pPr>
      <w:r w:rsidRPr="009405A6"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  <w:t>Responsible and Sustainable Investing</w:t>
      </w:r>
    </w:p>
    <w:p w14:paraId="21DF271A" w14:textId="77777777" w:rsidR="0072712F" w:rsidRPr="00981E6E" w:rsidRDefault="0072712F" w:rsidP="007F4D3D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bidi="he-IL"/>
        </w:rPr>
      </w:pPr>
    </w:p>
    <w:p w14:paraId="08EBE57E" w14:textId="64E530FD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  <w:r w:rsidRPr="00981E6E">
        <w:rPr>
          <w:rFonts w:ascii="Arial" w:hAnsi="Arial" w:cs="Arial"/>
          <w:color w:val="000000"/>
          <w:sz w:val="24"/>
          <w:szCs w:val="24"/>
          <w:lang w:bidi="he-IL"/>
        </w:rPr>
        <w:t xml:space="preserve">We </w:t>
      </w:r>
      <w:r w:rsidRPr="009405A6">
        <w:rPr>
          <w:rFonts w:ascii="Arial" w:hAnsi="Arial" w:cs="Arial"/>
          <w:color w:val="000000"/>
          <w:sz w:val="24"/>
          <w:szCs w:val="24"/>
          <w:lang w:bidi="he-IL"/>
        </w:rPr>
        <w:t xml:space="preserve">do not assess </w:t>
      </w:r>
      <w:r w:rsidR="00981E6E" w:rsidRPr="00981E6E">
        <w:rPr>
          <w:rFonts w:ascii="Arial" w:hAnsi="Arial" w:cs="Arial"/>
          <w:color w:val="000000"/>
          <w:sz w:val="24"/>
          <w:szCs w:val="24"/>
          <w:lang w:bidi="he-IL"/>
        </w:rPr>
        <w:t xml:space="preserve">Environmental, Social and Governance (“ESG”) </w:t>
      </w:r>
      <w:r w:rsidR="00981E6E">
        <w:rPr>
          <w:rFonts w:ascii="Arial" w:hAnsi="Arial" w:cs="Arial"/>
          <w:color w:val="000000"/>
          <w:sz w:val="24"/>
          <w:szCs w:val="24"/>
          <w:lang w:bidi="he-IL"/>
        </w:rPr>
        <w:t>F</w:t>
      </w:r>
      <w:r w:rsidRPr="009405A6">
        <w:rPr>
          <w:rFonts w:ascii="Arial" w:hAnsi="Arial" w:cs="Arial"/>
          <w:color w:val="000000"/>
          <w:sz w:val="24"/>
          <w:szCs w:val="24"/>
          <w:lang w:bidi="he-IL"/>
        </w:rPr>
        <w:t xml:space="preserve">actors that may have investment ramifications, </w:t>
      </w:r>
      <w:r w:rsidRPr="009405A6">
        <w:rPr>
          <w:rFonts w:ascii="Arial" w:hAnsi="Arial" w:cs="Arial"/>
          <w:sz w:val="24"/>
          <w:szCs w:val="24"/>
          <w:lang w:bidi="he-IL"/>
        </w:rPr>
        <w:t>and</w:t>
      </w:r>
      <w:r w:rsidRPr="009405A6">
        <w:rPr>
          <w:rFonts w:ascii="Arial" w:hAnsi="Arial" w:cs="Arial"/>
          <w:color w:val="000000"/>
          <w:sz w:val="24"/>
          <w:szCs w:val="24"/>
          <w:lang w:bidi="he-IL"/>
        </w:rPr>
        <w:t xml:space="preserve"> which may have a material impact on the investment’s long-term financial performance. As a result</w:t>
      </w:r>
      <w:r w:rsidRPr="009405A6">
        <w:rPr>
          <w:rFonts w:ascii="Arial" w:hAnsi="Arial" w:cs="Arial"/>
          <w:color w:val="000000"/>
          <w:sz w:val="24"/>
          <w:szCs w:val="24"/>
          <w:lang w:val="en-US" w:bidi="he-IL"/>
        </w:rPr>
        <w:t>,</w:t>
      </w:r>
      <w:r w:rsidRPr="009405A6">
        <w:rPr>
          <w:rFonts w:ascii="Arial" w:hAnsi="Arial" w:cs="Arial"/>
          <w:color w:val="000000"/>
          <w:sz w:val="24"/>
          <w:szCs w:val="24"/>
          <w:lang w:bidi="he-IL"/>
        </w:rPr>
        <w:t xml:space="preserve"> information on ESG Factors does not form part of </w:t>
      </w:r>
      <w:r w:rsidRPr="009405A6">
        <w:rPr>
          <w:rFonts w:ascii="Arial" w:hAnsi="Arial" w:cs="Arial"/>
          <w:color w:val="000000"/>
          <w:sz w:val="24"/>
          <w:szCs w:val="24"/>
          <w:lang w:val="en-US" w:bidi="he-IL"/>
        </w:rPr>
        <w:t xml:space="preserve">our </w:t>
      </w:r>
      <w:r w:rsidRPr="009405A6">
        <w:rPr>
          <w:rFonts w:ascii="Arial" w:hAnsi="Arial" w:cs="Arial"/>
          <w:color w:val="000000"/>
          <w:sz w:val="24"/>
          <w:szCs w:val="24"/>
          <w:lang w:bidi="he-IL"/>
        </w:rPr>
        <w:t xml:space="preserve">investment </w:t>
      </w:r>
      <w:r w:rsidR="00981E6E">
        <w:rPr>
          <w:rFonts w:ascii="Arial" w:hAnsi="Arial" w:cs="Arial"/>
          <w:color w:val="000000"/>
          <w:sz w:val="24"/>
          <w:szCs w:val="24"/>
          <w:lang w:bidi="he-IL"/>
        </w:rPr>
        <w:t>recommendation/</w:t>
      </w:r>
      <w:r w:rsidRPr="009405A6">
        <w:rPr>
          <w:rFonts w:ascii="Arial" w:hAnsi="Arial" w:cs="Arial"/>
          <w:color w:val="000000"/>
          <w:sz w:val="24"/>
          <w:szCs w:val="24"/>
          <w:lang w:bidi="he-IL"/>
        </w:rPr>
        <w:t>decision making process</w:t>
      </w:r>
      <w:r w:rsidR="00981E6E">
        <w:rPr>
          <w:rFonts w:ascii="Arial" w:hAnsi="Arial" w:cs="Arial"/>
          <w:color w:val="000000"/>
          <w:sz w:val="24"/>
          <w:szCs w:val="24"/>
          <w:lang w:bidi="he-IL"/>
        </w:rPr>
        <w:t>.</w:t>
      </w:r>
      <w:r w:rsidR="005F73EE">
        <w:rPr>
          <w:rFonts w:ascii="Arial" w:hAnsi="Arial" w:cs="Arial"/>
          <w:color w:val="000000"/>
          <w:sz w:val="24"/>
          <w:szCs w:val="24"/>
          <w:lang w:bidi="he-IL"/>
        </w:rPr>
        <w:t xml:space="preserve"> We will review this position on an annual basis.</w:t>
      </w:r>
    </w:p>
    <w:p w14:paraId="5CCFCC77" w14:textId="77777777" w:rsidR="0072712F" w:rsidRPr="00347EF7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</w:p>
    <w:p w14:paraId="2AE3EC30" w14:textId="77777777" w:rsidR="0072712F" w:rsidRPr="007F4D3D" w:rsidRDefault="0072712F" w:rsidP="007F4D3D">
      <w:pPr>
        <w:shd w:val="clear" w:color="auto" w:fill="FFFFFF"/>
        <w:spacing w:after="0" w:line="276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</w:pPr>
      <w:r w:rsidRPr="007F4D3D"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  <w:t>Negative and positive screening</w:t>
      </w:r>
    </w:p>
    <w:p w14:paraId="04E8CA0E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719C1BAD" w14:textId="77777777" w:rsidR="0072712F" w:rsidRPr="007F4D3D" w:rsidRDefault="0072712F" w:rsidP="007F4D3D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bidi="he-IL"/>
        </w:rPr>
      </w:pPr>
      <w:r w:rsidRPr="007F4D3D">
        <w:rPr>
          <w:rFonts w:ascii="Arial" w:hAnsi="Arial" w:cs="Arial"/>
          <w:color w:val="000000"/>
          <w:sz w:val="24"/>
          <w:szCs w:val="24"/>
          <w:lang w:bidi="he-IL"/>
        </w:rPr>
        <w:t>We will actively engage with our clients to understand whether they have concerns about specific activities and / or industries in order to maintain such exclusions on an on-going basis.</w:t>
      </w:r>
    </w:p>
    <w:p w14:paraId="0CDEBC94" w14:textId="77777777" w:rsidR="0072712F" w:rsidRPr="007F4D3D" w:rsidRDefault="0072712F" w:rsidP="007F4D3D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bidi="he-IL"/>
        </w:rPr>
      </w:pPr>
    </w:p>
    <w:p w14:paraId="57F52FA3" w14:textId="58F5CF9C" w:rsidR="0072712F" w:rsidRPr="007F4D3D" w:rsidRDefault="00981E6E" w:rsidP="007F4D3D">
      <w:pPr>
        <w:shd w:val="clear" w:color="auto" w:fill="FFFFFF"/>
        <w:spacing w:after="0" w:line="276" w:lineRule="auto"/>
        <w:jc w:val="both"/>
        <w:rPr>
          <w:rFonts w:ascii="Arial" w:hAnsi="Arial" w:cs="Arial"/>
          <w:color w:val="000000"/>
          <w:sz w:val="24"/>
          <w:szCs w:val="24"/>
          <w:lang w:bidi="he-IL"/>
        </w:rPr>
      </w:pPr>
      <w:r>
        <w:rPr>
          <w:rFonts w:ascii="Arial" w:hAnsi="Arial" w:cs="Arial"/>
          <w:color w:val="000000"/>
          <w:sz w:val="24"/>
          <w:szCs w:val="24"/>
          <w:lang w:bidi="he-IL"/>
        </w:rPr>
        <w:t xml:space="preserve">In such cases, we undertake, to the extent possible, to </w:t>
      </w:r>
      <w:r w:rsidR="0072712F" w:rsidRPr="007F4D3D">
        <w:rPr>
          <w:rFonts w:ascii="Arial" w:hAnsi="Arial" w:cs="Arial"/>
          <w:color w:val="000000"/>
          <w:sz w:val="24"/>
          <w:szCs w:val="24"/>
          <w:lang w:bidi="he-IL"/>
        </w:rPr>
        <w:t xml:space="preserve">screen target </w:t>
      </w:r>
      <w:r>
        <w:rPr>
          <w:rFonts w:ascii="Arial" w:hAnsi="Arial" w:cs="Arial"/>
          <w:color w:val="000000"/>
          <w:sz w:val="24"/>
          <w:szCs w:val="24"/>
          <w:lang w:bidi="he-IL"/>
        </w:rPr>
        <w:t xml:space="preserve">entities and / </w:t>
      </w:r>
      <w:proofErr w:type="gramStart"/>
      <w:r>
        <w:rPr>
          <w:rFonts w:ascii="Arial" w:hAnsi="Arial" w:cs="Arial"/>
          <w:color w:val="000000"/>
          <w:sz w:val="24"/>
          <w:szCs w:val="24"/>
          <w:lang w:bidi="he-IL"/>
        </w:rPr>
        <w:t xml:space="preserve">or </w:t>
      </w:r>
      <w:r w:rsidR="0072712F" w:rsidRPr="007F4D3D">
        <w:rPr>
          <w:rFonts w:ascii="Arial" w:hAnsi="Arial" w:cs="Arial"/>
          <w:color w:val="000000"/>
          <w:sz w:val="24"/>
          <w:szCs w:val="24"/>
          <w:lang w:bidi="he-IL"/>
        </w:rPr>
        <w:t xml:space="preserve"> products</w:t>
      </w:r>
      <w:proofErr w:type="gramEnd"/>
      <w:r w:rsidR="0072712F" w:rsidRPr="007F4D3D">
        <w:rPr>
          <w:rFonts w:ascii="Arial" w:hAnsi="Arial" w:cs="Arial"/>
          <w:color w:val="000000"/>
          <w:sz w:val="24"/>
          <w:szCs w:val="24"/>
          <w:lang w:bidi="he-IL"/>
        </w:rPr>
        <w:t xml:space="preserve"> that promote and provide solutions that are consistent with ESG Factors and </w:t>
      </w:r>
      <w:r>
        <w:rPr>
          <w:rFonts w:ascii="Arial" w:hAnsi="Arial" w:cs="Arial"/>
          <w:color w:val="000000"/>
          <w:sz w:val="24"/>
          <w:szCs w:val="24"/>
          <w:lang w:bidi="he-IL"/>
        </w:rPr>
        <w:t xml:space="preserve">shall </w:t>
      </w:r>
      <w:r w:rsidR="0072712F" w:rsidRPr="007F4D3D">
        <w:rPr>
          <w:rFonts w:ascii="Arial" w:hAnsi="Arial" w:cs="Arial"/>
          <w:color w:val="000000"/>
          <w:sz w:val="24"/>
          <w:szCs w:val="24"/>
          <w:lang w:bidi="he-IL"/>
        </w:rPr>
        <w:t xml:space="preserve">aim at </w:t>
      </w:r>
      <w:r>
        <w:rPr>
          <w:rFonts w:ascii="Arial" w:hAnsi="Arial" w:cs="Arial"/>
          <w:color w:val="000000"/>
          <w:sz w:val="24"/>
          <w:szCs w:val="24"/>
          <w:lang w:bidi="he-IL"/>
        </w:rPr>
        <w:t>recommending and / or investing in</w:t>
      </w:r>
      <w:r w:rsidR="0072712F" w:rsidRPr="007F4D3D">
        <w:rPr>
          <w:rFonts w:ascii="Arial" w:hAnsi="Arial" w:cs="Arial"/>
          <w:color w:val="000000"/>
          <w:sz w:val="24"/>
          <w:szCs w:val="24"/>
          <w:lang w:bidi="he-IL"/>
        </w:rPr>
        <w:t xml:space="preserve"> such </w:t>
      </w:r>
      <w:r>
        <w:rPr>
          <w:rFonts w:ascii="Arial" w:hAnsi="Arial" w:cs="Arial"/>
          <w:color w:val="000000"/>
          <w:sz w:val="24"/>
          <w:szCs w:val="24"/>
          <w:lang w:bidi="he-IL"/>
        </w:rPr>
        <w:t>on an</w:t>
      </w:r>
      <w:r w:rsidR="0072712F" w:rsidRPr="007F4D3D">
        <w:rPr>
          <w:rFonts w:ascii="Arial" w:hAnsi="Arial" w:cs="Arial"/>
          <w:color w:val="000000"/>
          <w:sz w:val="24"/>
          <w:szCs w:val="24"/>
          <w:lang w:bidi="he-IL"/>
        </w:rPr>
        <w:t xml:space="preserve"> on-going basis</w:t>
      </w:r>
      <w:r>
        <w:rPr>
          <w:rFonts w:ascii="Arial" w:hAnsi="Arial" w:cs="Arial"/>
          <w:color w:val="000000"/>
          <w:sz w:val="24"/>
          <w:szCs w:val="24"/>
          <w:lang w:bidi="he-IL"/>
        </w:rPr>
        <w:t>, in so far as applicable</w:t>
      </w:r>
      <w:r w:rsidR="0072712F" w:rsidRPr="007F4D3D">
        <w:rPr>
          <w:rFonts w:ascii="Arial" w:hAnsi="Arial" w:cs="Arial"/>
          <w:color w:val="000000"/>
          <w:sz w:val="24"/>
          <w:szCs w:val="24"/>
          <w:lang w:bidi="he-IL"/>
        </w:rPr>
        <w:t>.</w:t>
      </w:r>
    </w:p>
    <w:p w14:paraId="7431710E" w14:textId="77777777" w:rsidR="0072712F" w:rsidRPr="00347EF7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27CB150E" w14:textId="77777777" w:rsidR="0072712F" w:rsidRPr="007F4D3D" w:rsidRDefault="0072712F" w:rsidP="007F4D3D">
      <w:pPr>
        <w:shd w:val="clear" w:color="auto" w:fill="FFFFFF"/>
        <w:spacing w:after="0" w:line="276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</w:pPr>
      <w:r w:rsidRPr="007F4D3D"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  <w:t>Exclusions</w:t>
      </w:r>
    </w:p>
    <w:p w14:paraId="34F39460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7F8FFBFD" w14:textId="77777777" w:rsidR="0072712F" w:rsidRPr="00347EF7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We </w:t>
      </w:r>
      <w:r w:rsidRPr="00347EF7">
        <w:rPr>
          <w:rFonts w:ascii="Arial" w:eastAsia="Times New Roman" w:hAnsi="Arial" w:cs="Arial"/>
          <w:color w:val="303C42"/>
          <w:sz w:val="24"/>
          <w:szCs w:val="24"/>
        </w:rPr>
        <w:t xml:space="preserve">will not </w:t>
      </w: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knowingly </w:t>
      </w:r>
      <w:r w:rsidRPr="00347EF7">
        <w:rPr>
          <w:rFonts w:ascii="Arial" w:eastAsia="Times New Roman" w:hAnsi="Arial" w:cs="Arial"/>
          <w:color w:val="303C42"/>
          <w:sz w:val="24"/>
          <w:szCs w:val="24"/>
        </w:rPr>
        <w:t>invest in companies involved in the following activities:</w:t>
      </w:r>
    </w:p>
    <w:p w14:paraId="51C3264D" w14:textId="77777777" w:rsidR="0072712F" w:rsidRPr="009405A6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 w:rsidRPr="009405A6">
        <w:rPr>
          <w:rFonts w:ascii="Arial" w:eastAsia="Times New Roman" w:hAnsi="Arial" w:cs="Arial"/>
          <w:color w:val="303C42"/>
          <w:sz w:val="24"/>
          <w:szCs w:val="24"/>
        </w:rPr>
        <w:t>-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ab/>
        <w:t xml:space="preserve">arms manufacturing; </w:t>
      </w:r>
    </w:p>
    <w:p w14:paraId="46A12885" w14:textId="77777777" w:rsidR="0072712F" w:rsidRPr="009405A6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 w:rsidRPr="009405A6">
        <w:rPr>
          <w:rFonts w:ascii="Arial" w:eastAsia="Times New Roman" w:hAnsi="Arial" w:cs="Arial"/>
          <w:color w:val="303C42"/>
          <w:sz w:val="24"/>
          <w:szCs w:val="24"/>
        </w:rPr>
        <w:t>-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ab/>
        <w:t xml:space="preserve">manufacture of tobacco; </w:t>
      </w:r>
    </w:p>
    <w:p w14:paraId="2F9C5A46" w14:textId="77777777" w:rsidR="0072712F" w:rsidRPr="009405A6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 w:rsidRPr="009405A6">
        <w:rPr>
          <w:rFonts w:ascii="Arial" w:eastAsia="Times New Roman" w:hAnsi="Arial" w:cs="Arial"/>
          <w:color w:val="303C42"/>
          <w:sz w:val="24"/>
          <w:szCs w:val="24"/>
        </w:rPr>
        <w:t>-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ab/>
        <w:t xml:space="preserve">hard spirits; </w:t>
      </w:r>
    </w:p>
    <w:p w14:paraId="1C3FEEBF" w14:textId="77777777" w:rsidR="0072712F" w:rsidRPr="009405A6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 w:rsidRPr="009405A6">
        <w:rPr>
          <w:rFonts w:ascii="Arial" w:eastAsia="Times New Roman" w:hAnsi="Arial" w:cs="Arial"/>
          <w:color w:val="303C42"/>
          <w:sz w:val="24"/>
          <w:szCs w:val="24"/>
        </w:rPr>
        <w:t>-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ab/>
        <w:t xml:space="preserve">gambling; and </w:t>
      </w:r>
    </w:p>
    <w:p w14:paraId="5BB6DB85" w14:textId="77777777" w:rsidR="0072712F" w:rsidRPr="009405A6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 w:rsidRPr="009405A6">
        <w:rPr>
          <w:rFonts w:ascii="Arial" w:eastAsia="Times New Roman" w:hAnsi="Arial" w:cs="Arial"/>
          <w:color w:val="303C42"/>
          <w:sz w:val="24"/>
          <w:szCs w:val="24"/>
        </w:rPr>
        <w:t>-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ab/>
        <w:t xml:space="preserve">genetically modified organisms. </w:t>
      </w:r>
    </w:p>
    <w:p w14:paraId="111057C2" w14:textId="77777777" w:rsidR="0072712F" w:rsidRPr="009405A6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</w:p>
    <w:p w14:paraId="3B036A2B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>We will assess t</w:t>
      </w:r>
      <w:r w:rsidRPr="00347EF7">
        <w:rPr>
          <w:rFonts w:ascii="Arial" w:eastAsia="Times New Roman" w:hAnsi="Arial" w:cs="Arial"/>
          <w:color w:val="303C42"/>
          <w:sz w:val="24"/>
          <w:szCs w:val="24"/>
        </w:rPr>
        <w:t>hese types of investments on a case-by-case basis and any potential for indirect exposure is carefully considered and factored into investment selection.</w:t>
      </w:r>
    </w:p>
    <w:p w14:paraId="0D0CD269" w14:textId="77777777" w:rsidR="0072712F" w:rsidRPr="00347EF7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</w:p>
    <w:p w14:paraId="3FF0B101" w14:textId="77777777" w:rsidR="0072712F" w:rsidRPr="007F4D3D" w:rsidRDefault="0072712F" w:rsidP="007F4D3D">
      <w:pPr>
        <w:shd w:val="clear" w:color="auto" w:fill="FFFFFF"/>
        <w:spacing w:after="0" w:line="276" w:lineRule="auto"/>
        <w:jc w:val="both"/>
        <w:outlineLvl w:val="5"/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</w:pPr>
      <w:r w:rsidRPr="007F4D3D"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  <w:t>Principle Adverse Impacts</w:t>
      </w:r>
    </w:p>
    <w:p w14:paraId="0FC3494F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51E01C49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We do not 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 xml:space="preserve">undertake an assessment of the </w:t>
      </w: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>P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 xml:space="preserve">rincipal </w:t>
      </w: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>A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 xml:space="preserve">dverse </w:t>
      </w: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>I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 xml:space="preserve">mpacts (“PAIs”) of </w:t>
      </w: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our 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 xml:space="preserve">decisions on ESG Factors. PAIs are those impacts arising from </w:t>
      </w: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a particular decision taken which we take 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 xml:space="preserve">that </w:t>
      </w:r>
      <w:r w:rsidRPr="009405A6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will eventually have </w:t>
      </w:r>
      <w:r w:rsidRPr="009405A6">
        <w:rPr>
          <w:rFonts w:ascii="Arial" w:eastAsia="Times New Roman" w:hAnsi="Arial" w:cs="Arial"/>
          <w:color w:val="303C42"/>
          <w:sz w:val="24"/>
          <w:szCs w:val="24"/>
        </w:rPr>
        <w:t>a negative effect on ESG Factors.</w:t>
      </w:r>
    </w:p>
    <w:p w14:paraId="1DAA0C64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1FAA1313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5AAA82F6" w14:textId="03810565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Kindly contact </w:t>
      </w:r>
      <w:r w:rsidR="005F73EE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compliance @fmgfunds.com </w:t>
      </w: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>for a full copy of our ESG Policy.</w:t>
      </w:r>
    </w:p>
    <w:p w14:paraId="5A6F0702" w14:textId="77777777" w:rsidR="0072712F" w:rsidRDefault="0072712F" w:rsidP="007F4D3D">
      <w:pPr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</w:rPr>
      </w:pPr>
      <w:r>
        <w:rPr>
          <w:rFonts w:ascii="Arial" w:eastAsia="Times New Roman" w:hAnsi="Arial" w:cs="Arial"/>
          <w:color w:val="303C42"/>
          <w:sz w:val="24"/>
          <w:szCs w:val="24"/>
        </w:rPr>
        <w:br w:type="page"/>
      </w:r>
    </w:p>
    <w:p w14:paraId="706CCA4A" w14:textId="77777777" w:rsidR="0072712F" w:rsidRPr="00C94C2E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</w:pPr>
      <w:r w:rsidRPr="00C94C2E">
        <w:rPr>
          <w:rFonts w:ascii="Arial" w:eastAsia="Times New Roman" w:hAnsi="Arial" w:cs="Arial"/>
          <w:b/>
          <w:bCs/>
          <w:i/>
          <w:iCs/>
          <w:color w:val="303C42"/>
          <w:sz w:val="24"/>
          <w:szCs w:val="24"/>
          <w:u w:val="single"/>
          <w:lang w:val="en-US"/>
        </w:rPr>
        <w:lastRenderedPageBreak/>
        <w:t>Alignment of Remuneration Policy with sustainability investments</w:t>
      </w:r>
    </w:p>
    <w:p w14:paraId="18996EAC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513784A4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>In line with our Remuneration Policy, n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o variable remuneration </w:t>
      </w: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is 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paid to </w:t>
      </w: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our staff 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unless it is determined to be justified following a performance assessment based on quantitative (financial) as well as qualitative (non-financial) criteria.  </w:t>
      </w:r>
    </w:p>
    <w:p w14:paraId="59E85E58" w14:textId="7777777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42783CD8" w14:textId="0B956307" w:rsidR="0072712F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Due to this very limited impact on the risk-profile of our clients, as well as the nature of our business, we 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>deem that there is no risk of misalignment with the integration of the sustainability risks</w:t>
      </w:r>
      <w:r w:rsidR="001D38C0">
        <w:rPr>
          <w:rFonts w:ascii="Arial" w:eastAsia="Times New Roman" w:hAnsi="Arial" w:cs="Arial"/>
          <w:color w:val="303C42"/>
          <w:sz w:val="24"/>
          <w:szCs w:val="24"/>
          <w:lang w:val="en-US"/>
        </w:rPr>
        <w:t>, if any,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>in our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 investment decision making process</w:t>
      </w:r>
      <w:r w:rsidR="00AC7C31">
        <w:rPr>
          <w:rFonts w:ascii="Arial" w:eastAsia="Times New Roman" w:hAnsi="Arial" w:cs="Arial"/>
          <w:color w:val="303C42"/>
          <w:sz w:val="24"/>
          <w:szCs w:val="24"/>
          <w:lang w:val="en-US"/>
        </w:rPr>
        <w:t>/investment advisory services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>with respect to our clients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>.</w:t>
      </w:r>
    </w:p>
    <w:p w14:paraId="19C3135F" w14:textId="77777777" w:rsidR="0072712F" w:rsidRPr="00C94C2E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</w:p>
    <w:p w14:paraId="6BCAE260" w14:textId="56BC98C2" w:rsidR="0072712F" w:rsidRPr="009405A6" w:rsidRDefault="0072712F" w:rsidP="007F4D3D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03C42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303C42"/>
          <w:sz w:val="24"/>
          <w:szCs w:val="24"/>
          <w:lang w:val="en-US"/>
        </w:rPr>
        <w:t xml:space="preserve">As such, we believe that our 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>existing structures are sufficient to prevent excessive risk taking in respect of sustainability risks</w:t>
      </w:r>
      <w:r w:rsidR="001D38C0">
        <w:rPr>
          <w:rFonts w:ascii="Arial" w:eastAsia="Times New Roman" w:hAnsi="Arial" w:cs="Arial"/>
          <w:color w:val="303C42"/>
          <w:sz w:val="24"/>
          <w:szCs w:val="24"/>
          <w:lang w:val="en-US"/>
        </w:rPr>
        <w:t>, if any</w:t>
      </w:r>
      <w:r w:rsidRPr="00C94C2E">
        <w:rPr>
          <w:rFonts w:ascii="Arial" w:eastAsia="Times New Roman" w:hAnsi="Arial" w:cs="Arial"/>
          <w:color w:val="303C42"/>
          <w:sz w:val="24"/>
          <w:szCs w:val="24"/>
          <w:lang w:val="en-US"/>
        </w:rPr>
        <w:t>.</w:t>
      </w:r>
    </w:p>
    <w:p w14:paraId="615B65EC" w14:textId="77777777" w:rsidR="0072712F" w:rsidRPr="00347EF7" w:rsidRDefault="0072712F" w:rsidP="0072712F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03C42"/>
          <w:sz w:val="24"/>
          <w:szCs w:val="24"/>
        </w:rPr>
      </w:pPr>
    </w:p>
    <w:p w14:paraId="38EDA37F" w14:textId="77777777" w:rsidR="005F044F" w:rsidRDefault="005F044F"/>
    <w:sectPr w:rsidR="005F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2F"/>
    <w:rsid w:val="001D38C0"/>
    <w:rsid w:val="00302C8B"/>
    <w:rsid w:val="005F044F"/>
    <w:rsid w:val="005F73EE"/>
    <w:rsid w:val="00687379"/>
    <w:rsid w:val="0072712F"/>
    <w:rsid w:val="007F4D3D"/>
    <w:rsid w:val="00981E6E"/>
    <w:rsid w:val="009F3849"/>
    <w:rsid w:val="00A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3F30A"/>
  <w15:chartTrackingRefBased/>
  <w15:docId w15:val="{656646F1-D33B-48BA-98D6-82A8C852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Ganado</dc:creator>
  <cp:keywords/>
  <dc:description/>
  <cp:lastModifiedBy>Karl Tonna</cp:lastModifiedBy>
  <cp:revision>6</cp:revision>
  <dcterms:created xsi:type="dcterms:W3CDTF">2021-03-08T09:21:00Z</dcterms:created>
  <dcterms:modified xsi:type="dcterms:W3CDTF">2021-03-11T08:32:00Z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